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33109" w14:textId="77777777" w:rsidR="0094543B" w:rsidRDefault="008621C6">
      <w:pPr>
        <w:pBdr>
          <w:top w:val="single" w:sz="4" w:space="1" w:color="000000"/>
          <w:bottom w:val="single" w:sz="4" w:space="1" w:color="000000"/>
        </w:pBdr>
        <w:shd w:val="clear" w:color="auto" w:fill="262626"/>
        <w:jc w:val="center"/>
        <w:rPr>
          <w:b/>
          <w:smallCaps/>
        </w:rPr>
      </w:pPr>
      <w:r>
        <w:rPr>
          <w:b/>
          <w:smallCaps/>
        </w:rPr>
        <w:t>Instructions</w:t>
      </w:r>
    </w:p>
    <w:p w14:paraId="7F8CF624" w14:textId="77777777" w:rsidR="0094543B" w:rsidRDefault="008621C6">
      <w:pPr>
        <w:pBdr>
          <w:bottom w:val="single" w:sz="4" w:space="1" w:color="000000"/>
        </w:pBdr>
      </w:pPr>
      <w:r>
        <w:t xml:space="preserve">Please supply requested information in the blue-shaded areas and indicate any attachments that have been included.  Where appropriate, supporting documentation may be referenced by specific page and/or paragraph number(s). </w:t>
      </w:r>
    </w:p>
    <w:p w14:paraId="5DCBB50B" w14:textId="77777777" w:rsidR="0094543B" w:rsidRDefault="0094543B">
      <w:pPr>
        <w:pBdr>
          <w:bottom w:val="single" w:sz="4" w:space="1" w:color="000000"/>
        </w:pBdr>
      </w:pPr>
    </w:p>
    <w:p w14:paraId="6AED4B79" w14:textId="77777777" w:rsidR="0094543B" w:rsidRDefault="008621C6">
      <w:pPr>
        <w:pBdr>
          <w:bottom w:val="single" w:sz="4" w:space="1" w:color="000000"/>
        </w:pBdr>
        <w:rPr>
          <w:b/>
        </w:rPr>
      </w:pPr>
      <w:r>
        <w:rPr>
          <w:b/>
        </w:rPr>
        <w:t>If any of this response contains confidential information, as defined by IC 5-14-3, provide a separate redacted (for public release) version of this document.  Specify which statutory exception of APRA applies and provide a description explaining the manner in which the statutory exception to the APRA applies.</w:t>
      </w:r>
    </w:p>
    <w:p w14:paraId="2C75510D" w14:textId="77777777" w:rsidR="0094543B" w:rsidRDefault="0094543B">
      <w:pPr>
        <w:rPr>
          <w:b/>
          <w:smallCaps/>
          <w:color w:val="000000"/>
        </w:rPr>
      </w:pPr>
    </w:p>
    <w:p w14:paraId="2BB32F5F" w14:textId="77777777" w:rsidR="0094543B" w:rsidRDefault="008621C6">
      <w:pPr>
        <w:rPr>
          <w:b/>
          <w:smallCaps/>
          <w:color w:val="000000"/>
        </w:rPr>
      </w:pPr>
      <w:r>
        <w:rPr>
          <w:b/>
          <w:smallCaps/>
          <w:color w:val="000000"/>
          <w:u w:val="single"/>
        </w:rPr>
        <w:t>Respondent Name</w:t>
      </w:r>
      <w:r>
        <w:rPr>
          <w:b/>
          <w:smallCaps/>
          <w:color w:val="000000"/>
        </w:rPr>
        <w:t>: Mainline Information Systems, Inc.</w:t>
      </w:r>
    </w:p>
    <w:p w14:paraId="5A944A6B" w14:textId="77777777" w:rsidR="002506BF" w:rsidRDefault="002506BF" w:rsidP="002506BF">
      <w:pPr>
        <w:pBdr>
          <w:top w:val="nil"/>
          <w:left w:val="nil"/>
          <w:bottom w:val="nil"/>
          <w:right w:val="nil"/>
          <w:between w:val="nil"/>
        </w:pBdr>
        <w:tabs>
          <w:tab w:val="center" w:pos="4680"/>
          <w:tab w:val="right" w:pos="9360"/>
        </w:tabs>
        <w:rPr>
          <w:b/>
          <w:bCs/>
          <w:u w:val="single"/>
        </w:rPr>
      </w:pPr>
    </w:p>
    <w:tbl>
      <w:tblPr>
        <w:tblStyle w:val="a0"/>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0"/>
        <w:gridCol w:w="6210"/>
        <w:gridCol w:w="6295"/>
      </w:tblGrid>
      <w:tr w:rsidR="00347A75" w14:paraId="3946B916" w14:textId="77777777" w:rsidTr="00007106">
        <w:trPr>
          <w:tblHeader/>
        </w:trPr>
        <w:tc>
          <w:tcPr>
            <w:tcW w:w="14395" w:type="dxa"/>
            <w:gridSpan w:val="3"/>
            <w:tcBorders>
              <w:top w:val="nil"/>
              <w:left w:val="nil"/>
              <w:bottom w:val="single" w:sz="4" w:space="0" w:color="000000"/>
              <w:right w:val="nil"/>
            </w:tcBorders>
            <w:shd w:val="clear" w:color="auto" w:fill="FFFFFF"/>
            <w:vAlign w:val="center"/>
          </w:tcPr>
          <w:p w14:paraId="7153DCB3" w14:textId="4051E746" w:rsidR="00347A75" w:rsidRDefault="00347A75" w:rsidP="00007106">
            <w:pPr>
              <w:rPr>
                <w:b/>
                <w:smallCaps/>
                <w:color w:val="000000"/>
              </w:rPr>
            </w:pPr>
            <w:r>
              <w:rPr>
                <w:b/>
                <w:smallCaps/>
                <w:color w:val="000000"/>
              </w:rPr>
              <w:t>Attachment F – Technical Proposal</w:t>
            </w:r>
          </w:p>
        </w:tc>
      </w:tr>
      <w:tr w:rsidR="00347A75" w14:paraId="4AAE7ED0" w14:textId="77777777" w:rsidTr="00007106">
        <w:trPr>
          <w:trHeight w:val="485"/>
          <w:tblHeader/>
        </w:trPr>
        <w:tc>
          <w:tcPr>
            <w:tcW w:w="1890" w:type="dxa"/>
            <w:tcBorders>
              <w:top w:val="single" w:sz="4" w:space="0" w:color="000000"/>
              <w:bottom w:val="single" w:sz="4" w:space="0" w:color="000000"/>
            </w:tcBorders>
            <w:shd w:val="clear" w:color="auto" w:fill="262626"/>
            <w:vAlign w:val="center"/>
          </w:tcPr>
          <w:sdt>
            <w:sdtPr>
              <w:tag w:val="goog_rdk_1"/>
              <w:id w:val="1308200753"/>
            </w:sdtPr>
            <w:sdtContent>
              <w:p w14:paraId="693756C8" w14:textId="77777777" w:rsidR="00347A75" w:rsidRPr="00035D6D" w:rsidRDefault="00000000" w:rsidP="00007106">
                <w:pPr>
                  <w:jc w:val="center"/>
                  <w:rPr>
                    <w:b/>
                    <w:smallCaps/>
                    <w:color w:val="FFFFFF"/>
                  </w:rPr>
                </w:pPr>
                <w:sdt>
                  <w:sdtPr>
                    <w:tag w:val="goog_rdk_0"/>
                    <w:id w:val="-1547519968"/>
                  </w:sdtPr>
                  <w:sdtContent>
                    <w:r w:rsidR="00347A75" w:rsidRPr="00035D6D">
                      <w:rPr>
                        <w:b/>
                        <w:smallCaps/>
                        <w:color w:val="FFFFFF"/>
                      </w:rPr>
                      <w:t>Section Number</w:t>
                    </w:r>
                  </w:sdtContent>
                </w:sdt>
              </w:p>
            </w:sdtContent>
          </w:sdt>
        </w:tc>
        <w:tc>
          <w:tcPr>
            <w:tcW w:w="6210" w:type="dxa"/>
            <w:tcBorders>
              <w:top w:val="single" w:sz="4" w:space="0" w:color="000000"/>
              <w:bottom w:val="single" w:sz="4" w:space="0" w:color="000000"/>
            </w:tcBorders>
            <w:shd w:val="clear" w:color="auto" w:fill="262626"/>
            <w:vAlign w:val="center"/>
          </w:tcPr>
          <w:sdt>
            <w:sdtPr>
              <w:tag w:val="goog_rdk_3"/>
              <w:id w:val="82120562"/>
            </w:sdtPr>
            <w:sdtContent>
              <w:p w14:paraId="0B09360A" w14:textId="77777777" w:rsidR="00347A75" w:rsidRPr="00035D6D" w:rsidRDefault="00000000" w:rsidP="00007106">
                <w:pPr>
                  <w:jc w:val="center"/>
                  <w:rPr>
                    <w:b/>
                    <w:smallCaps/>
                    <w:color w:val="FFFFFF"/>
                  </w:rPr>
                </w:pPr>
                <w:sdt>
                  <w:sdtPr>
                    <w:tag w:val="goog_rdk_2"/>
                    <w:id w:val="-876773329"/>
                  </w:sdtPr>
                  <w:sdtContent>
                    <w:r w:rsidR="00347A75" w:rsidRPr="00035D6D">
                      <w:rPr>
                        <w:b/>
                        <w:smallCaps/>
                        <w:color w:val="FFFFFF"/>
                      </w:rPr>
                      <w:t>Clarification Question</w:t>
                    </w:r>
                  </w:sdtContent>
                </w:sdt>
              </w:p>
            </w:sdtContent>
          </w:sdt>
        </w:tc>
        <w:tc>
          <w:tcPr>
            <w:tcW w:w="6295" w:type="dxa"/>
            <w:tcBorders>
              <w:top w:val="single" w:sz="4" w:space="0" w:color="000000"/>
              <w:bottom w:val="single" w:sz="4" w:space="0" w:color="000000"/>
            </w:tcBorders>
            <w:shd w:val="clear" w:color="auto" w:fill="262626"/>
            <w:vAlign w:val="center"/>
          </w:tcPr>
          <w:p w14:paraId="7B6AC903" w14:textId="77777777" w:rsidR="00347A75" w:rsidRDefault="00347A75" w:rsidP="00007106">
            <w:pPr>
              <w:jc w:val="center"/>
              <w:rPr>
                <w:b/>
                <w:smallCaps/>
              </w:rPr>
            </w:pPr>
            <w:r>
              <w:rPr>
                <w:b/>
                <w:smallCaps/>
              </w:rPr>
              <w:t>Respondent Response</w:t>
            </w:r>
          </w:p>
        </w:tc>
      </w:tr>
      <w:tr w:rsidR="006E1CC4" w14:paraId="7840879F" w14:textId="77777777" w:rsidTr="00007106">
        <w:trPr>
          <w:trHeight w:val="432"/>
        </w:trPr>
        <w:tc>
          <w:tcPr>
            <w:tcW w:w="1890" w:type="dxa"/>
            <w:tcBorders>
              <w:top w:val="single" w:sz="4" w:space="0" w:color="000000"/>
              <w:bottom w:val="single" w:sz="4" w:space="0" w:color="000000"/>
            </w:tcBorders>
          </w:tcPr>
          <w:p w14:paraId="79230757" w14:textId="15A0C77F" w:rsidR="006E1CC4" w:rsidRDefault="006E1CC4" w:rsidP="00007106">
            <w:pPr>
              <w:jc w:val="center"/>
            </w:pPr>
            <w:r>
              <w:t>V</w:t>
            </w:r>
            <w:r w:rsidR="000D1E06">
              <w:t>I</w:t>
            </w:r>
            <w:r>
              <w:t>I. Staffing and System Maintenance and Operations (M&amp;O)</w:t>
            </w:r>
          </w:p>
        </w:tc>
        <w:tc>
          <w:tcPr>
            <w:tcW w:w="6210" w:type="dxa"/>
            <w:tcBorders>
              <w:top w:val="single" w:sz="4" w:space="0" w:color="000000"/>
              <w:bottom w:val="single" w:sz="4" w:space="0" w:color="000000"/>
            </w:tcBorders>
            <w:vAlign w:val="center"/>
          </w:tcPr>
          <w:p w14:paraId="4FDD8CF1" w14:textId="5F4DCAF6" w:rsidR="006E1CC4" w:rsidRDefault="00415FEF" w:rsidP="00007106">
            <w:r>
              <w:t xml:space="preserve">Please </w:t>
            </w:r>
            <w:r w:rsidR="000A46EA">
              <w:t>clarify</w:t>
            </w:r>
            <w:r>
              <w:t xml:space="preserve"> </w:t>
            </w:r>
            <w:r w:rsidR="00B06703">
              <w:t>how</w:t>
            </w:r>
            <w:r>
              <w:t xml:space="preserve"> the proposed warranty</w:t>
            </w:r>
            <w:r w:rsidR="000A46EA">
              <w:t xml:space="preserve"> will apply when the State renews the subscription</w:t>
            </w:r>
            <w:r>
              <w:t xml:space="preserve"> after the conclusion of the first year, including what is and not covered</w:t>
            </w:r>
            <w:r w:rsidR="00B06703">
              <w:t xml:space="preserve"> under the warranty</w:t>
            </w:r>
            <w:r>
              <w:t xml:space="preserve"> and </w:t>
            </w:r>
            <w:r w:rsidR="00B06703">
              <w:t xml:space="preserve">any </w:t>
            </w:r>
            <w:r>
              <w:t>additional costs</w:t>
            </w:r>
            <w:r w:rsidR="00B06703">
              <w:t>.</w:t>
            </w:r>
          </w:p>
        </w:tc>
        <w:tc>
          <w:tcPr>
            <w:tcW w:w="6295" w:type="dxa"/>
            <w:tcBorders>
              <w:top w:val="single" w:sz="4" w:space="0" w:color="000000"/>
              <w:bottom w:val="single" w:sz="4" w:space="0" w:color="000000"/>
            </w:tcBorders>
            <w:shd w:val="clear" w:color="auto" w:fill="DEEBF6"/>
          </w:tcPr>
          <w:p w14:paraId="740F652E" w14:textId="0043EE7A" w:rsidR="006E1CC4" w:rsidRDefault="002B69AF" w:rsidP="00007106">
            <w:r>
              <w:t xml:space="preserve">Within the first 12 months, BMC’s warranty </w:t>
            </w:r>
            <w:r w:rsidRPr="002B69AF">
              <w:t>guarantees that the product performs "in substantial accordance" with its documentation</w:t>
            </w:r>
            <w:r>
              <w:t>. This is a one</w:t>
            </w:r>
            <w:r w:rsidR="00F24723">
              <w:t>-</w:t>
            </w:r>
            <w:r>
              <w:t xml:space="preserve">time warranty </w:t>
            </w:r>
            <w:r w:rsidR="00FA3A24">
              <w:t>that applies to the first contract only, no</w:t>
            </w:r>
            <w:r w:rsidR="00F24723">
              <w:t xml:space="preserve"> future renewals.</w:t>
            </w:r>
            <w:r w:rsidR="00FA3A24">
              <w:t xml:space="preserve"> </w:t>
            </w:r>
            <w:r w:rsidR="00F24723">
              <w:t>The Enterprise User License Agreement details this warranty here:</w:t>
            </w:r>
          </w:p>
          <w:p w14:paraId="688BD0DB" w14:textId="24B9E361" w:rsidR="002B69AF" w:rsidRDefault="002B69AF" w:rsidP="00007106">
            <w:r w:rsidRPr="002B69AF">
              <w:rPr>
                <w:noProof/>
              </w:rPr>
              <w:drawing>
                <wp:inline distT="0" distB="0" distL="0" distR="0" wp14:anchorId="0A54CF37" wp14:editId="1632562C">
                  <wp:extent cx="3860165" cy="61849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866413" cy="619491"/>
                          </a:xfrm>
                          <a:prstGeom prst="rect">
                            <a:avLst/>
                          </a:prstGeom>
                        </pic:spPr>
                      </pic:pic>
                    </a:graphicData>
                  </a:graphic>
                </wp:inline>
              </w:drawing>
            </w:r>
          </w:p>
          <w:p w14:paraId="0174C89B" w14:textId="6D767264" w:rsidR="006A0D24" w:rsidRDefault="006A0D24" w:rsidP="00007106"/>
        </w:tc>
      </w:tr>
      <w:tr w:rsidR="006C5651" w14:paraId="30ECBFA3" w14:textId="77777777" w:rsidTr="00754581">
        <w:trPr>
          <w:trHeight w:val="432"/>
        </w:trPr>
        <w:tc>
          <w:tcPr>
            <w:tcW w:w="1890" w:type="dxa"/>
            <w:tcBorders>
              <w:top w:val="single" w:sz="4" w:space="0" w:color="000000"/>
              <w:bottom w:val="single" w:sz="4" w:space="0" w:color="000000"/>
            </w:tcBorders>
            <w:vAlign w:val="center"/>
          </w:tcPr>
          <w:p w14:paraId="4D7CD703" w14:textId="5F741A98" w:rsidR="006C5651" w:rsidRDefault="000D1E06" w:rsidP="00754581">
            <w:pPr>
              <w:jc w:val="center"/>
            </w:pPr>
            <w:r>
              <w:t>VIII. Business Continuity and Disaster Recovery</w:t>
            </w:r>
          </w:p>
        </w:tc>
        <w:tc>
          <w:tcPr>
            <w:tcW w:w="6210" w:type="dxa"/>
            <w:tcBorders>
              <w:top w:val="single" w:sz="4" w:space="0" w:color="000000"/>
              <w:bottom w:val="single" w:sz="4" w:space="0" w:color="000000"/>
            </w:tcBorders>
            <w:vAlign w:val="center"/>
          </w:tcPr>
          <w:p w14:paraId="49516CCD" w14:textId="4E874272" w:rsidR="006C5651" w:rsidRDefault="00B06703" w:rsidP="00007106">
            <w:r>
              <w:t>During implementation, please clarify h</w:t>
            </w:r>
            <w:r w:rsidR="00754581">
              <w:t xml:space="preserve">ow will the Respondent assist the State in developing the architecture for disaster recovery?  </w:t>
            </w:r>
          </w:p>
        </w:tc>
        <w:tc>
          <w:tcPr>
            <w:tcW w:w="6295" w:type="dxa"/>
            <w:tcBorders>
              <w:top w:val="single" w:sz="4" w:space="0" w:color="000000"/>
              <w:bottom w:val="single" w:sz="4" w:space="0" w:color="000000"/>
            </w:tcBorders>
            <w:shd w:val="clear" w:color="auto" w:fill="DEEBF6"/>
          </w:tcPr>
          <w:p w14:paraId="53C7BEBA" w14:textId="32336FC0" w:rsidR="006C5651" w:rsidRDefault="00B60F3F" w:rsidP="00007106">
            <w:r>
              <w:t xml:space="preserve">VPMA will work with the existing St of Indiana team to see how they are presently configured now in working with other applications on their DR / Business </w:t>
            </w:r>
            <w:proofErr w:type="gramStart"/>
            <w:r>
              <w:t>Continuity  methodologies</w:t>
            </w:r>
            <w:proofErr w:type="gramEnd"/>
            <w:r>
              <w:t xml:space="preserve">. Whether that be cloud, alternate Data Center, IBM, SunGard type DR offerings. VPMA has developed many DR solutions for clients over the years. Once we collaborate on the present options available VPMA will architect and document a DR solution design for State of Indiana. This is typically done in the initial stages of the engagement. The design is phase 1 where we will architect and design the entire BMC Control-M </w:t>
            </w:r>
            <w:r>
              <w:lastRenderedPageBreak/>
              <w:t xml:space="preserve">Solution set Inclusive of High Availability and Disaster Recovery options. </w:t>
            </w:r>
          </w:p>
        </w:tc>
      </w:tr>
      <w:tr w:rsidR="00B06703" w14:paraId="1AEB2DB5" w14:textId="77777777" w:rsidTr="00754581">
        <w:trPr>
          <w:trHeight w:val="432"/>
        </w:trPr>
        <w:tc>
          <w:tcPr>
            <w:tcW w:w="1890" w:type="dxa"/>
            <w:tcBorders>
              <w:top w:val="single" w:sz="4" w:space="0" w:color="000000"/>
              <w:bottom w:val="single" w:sz="4" w:space="0" w:color="000000"/>
            </w:tcBorders>
            <w:vAlign w:val="center"/>
          </w:tcPr>
          <w:p w14:paraId="5B7B224A" w14:textId="1B6D625C" w:rsidR="00B06703" w:rsidRDefault="00B06703" w:rsidP="00754581">
            <w:pPr>
              <w:jc w:val="center"/>
            </w:pPr>
            <w:bookmarkStart w:id="0" w:name="_Hlk112319640"/>
            <w:r>
              <w:lastRenderedPageBreak/>
              <w:t>VIII. Business Continuity and Disaster Recovery</w:t>
            </w:r>
          </w:p>
        </w:tc>
        <w:tc>
          <w:tcPr>
            <w:tcW w:w="6210" w:type="dxa"/>
            <w:tcBorders>
              <w:top w:val="single" w:sz="4" w:space="0" w:color="000000"/>
              <w:bottom w:val="single" w:sz="4" w:space="0" w:color="000000"/>
            </w:tcBorders>
            <w:vAlign w:val="center"/>
          </w:tcPr>
          <w:p w14:paraId="1DDF4BB3" w14:textId="7ECE55E2" w:rsidR="00B06703" w:rsidRDefault="00B06703" w:rsidP="00007106">
            <w:r>
              <w:t>In the instance of a disaster recovery event, will the State contact Mainline or BMC?  Which entity will be responsible for assisting the State?  In the event the application fails to load, what is the Respondent’s proposed support strategy?</w:t>
            </w:r>
          </w:p>
        </w:tc>
        <w:tc>
          <w:tcPr>
            <w:tcW w:w="6295" w:type="dxa"/>
            <w:tcBorders>
              <w:top w:val="single" w:sz="4" w:space="0" w:color="000000"/>
              <w:bottom w:val="single" w:sz="4" w:space="0" w:color="000000"/>
            </w:tcBorders>
            <w:shd w:val="clear" w:color="auto" w:fill="DEEBF6"/>
          </w:tcPr>
          <w:p w14:paraId="3ACB6B34" w14:textId="44F59D60" w:rsidR="00F24723" w:rsidRDefault="0044637A" w:rsidP="00F24723">
            <w:r>
              <w:t xml:space="preserve">The State would contact BMC for assistance. If application fails to load, </w:t>
            </w:r>
            <w:r w:rsidR="002B69AF">
              <w:t>a</w:t>
            </w:r>
            <w:r w:rsidR="00F24723">
              <w:t>n Impact Level 1</w:t>
            </w:r>
            <w:r w:rsidR="002B69AF">
              <w:t xml:space="preserve"> ticket should be submitted to BMC.</w:t>
            </w:r>
            <w:r w:rsidR="00F24723">
              <w:t xml:space="preserve"> </w:t>
            </w:r>
            <w:r w:rsidR="00FA3A24">
              <w:t xml:space="preserve">You will receive a phone call within 1 clock hour. </w:t>
            </w:r>
            <w:r w:rsidR="00F24723">
              <w:t>BMC Support is available 24x7 to work on any critical issues.</w:t>
            </w:r>
          </w:p>
          <w:p w14:paraId="1DA340B2" w14:textId="1CD999A6" w:rsidR="00FA3A24" w:rsidRDefault="00FA3A24" w:rsidP="00F24723"/>
          <w:p w14:paraId="7B31E9FD" w14:textId="77777777" w:rsidR="001B7E75" w:rsidRPr="001B7E75" w:rsidRDefault="001B7E75" w:rsidP="001B7E75">
            <w:pPr>
              <w:pStyle w:val="NormalWeb"/>
              <w:shd w:val="clear" w:color="auto" w:fill="FFFFFF"/>
              <w:rPr>
                <w:rFonts w:ascii="Calibri" w:eastAsia="Calibri" w:hAnsi="Calibri" w:cs="Calibri"/>
              </w:rPr>
            </w:pPr>
            <w:r w:rsidRPr="001B7E75">
              <w:rPr>
                <w:rFonts w:ascii="Calibri" w:eastAsia="Calibri" w:hAnsi="Calibri" w:cs="Calibri"/>
              </w:rPr>
              <w:t>BMC provides Support via Web, Email and Phone.</w:t>
            </w:r>
          </w:p>
          <w:p w14:paraId="44EA8346" w14:textId="77777777" w:rsidR="001B7E75" w:rsidRDefault="001B7E75" w:rsidP="001B7E75">
            <w:pPr>
              <w:pStyle w:val="NormalWeb"/>
              <w:shd w:val="clear" w:color="auto" w:fill="FFFFFF"/>
              <w:rPr>
                <w:rFonts w:ascii="Open Sans" w:hAnsi="Open Sans" w:cs="Open Sans"/>
                <w:color w:val="313435"/>
                <w:sz w:val="27"/>
                <w:szCs w:val="27"/>
              </w:rPr>
            </w:pPr>
            <w:r w:rsidRPr="001B7E75">
              <w:rPr>
                <w:rFonts w:ascii="Calibri" w:eastAsia="Calibri" w:hAnsi="Calibri" w:cs="Calibri"/>
              </w:rPr>
              <w:t>Initial Response goals are relative to the impact of the reported problem on the customer environment. The BMC definitions for Impact (Severity</w:t>
            </w:r>
            <w:r>
              <w:rPr>
                <w:rFonts w:ascii="Open Sans" w:hAnsi="Open Sans" w:cs="Open Sans"/>
                <w:color w:val="313435"/>
                <w:sz w:val="27"/>
                <w:szCs w:val="27"/>
              </w:rPr>
              <w:t xml:space="preserve">) </w:t>
            </w:r>
            <w:r w:rsidRPr="001B7E75">
              <w:rPr>
                <w:rFonts w:asciiTheme="minorHAnsi" w:hAnsiTheme="minorHAnsi" w:cstheme="minorHAnsi"/>
                <w:color w:val="313435"/>
              </w:rPr>
              <w:t>levels 1-4 can be found </w:t>
            </w:r>
            <w:hyperlink r:id="rId10" w:history="1">
              <w:r w:rsidRPr="001B7E75">
                <w:rPr>
                  <w:rStyle w:val="Hyperlink"/>
                  <w:rFonts w:asciiTheme="minorHAnsi" w:hAnsiTheme="minorHAnsi" w:cstheme="minorHAnsi"/>
                  <w:color w:val="0078CC"/>
                </w:rPr>
                <w:t>here</w:t>
              </w:r>
            </w:hyperlink>
            <w:r w:rsidRPr="001B7E75">
              <w:rPr>
                <w:rFonts w:asciiTheme="minorHAnsi" w:hAnsiTheme="minorHAnsi" w:cstheme="minorHAnsi"/>
                <w:color w:val="313435"/>
              </w:rPr>
              <w:t>.</w:t>
            </w:r>
          </w:p>
          <w:p w14:paraId="2AD4B79D" w14:textId="122865E1" w:rsidR="00F24723" w:rsidRPr="00F24723" w:rsidRDefault="00F24723" w:rsidP="00F24723">
            <w:r>
              <w:t xml:space="preserve">Impact Level 1 issues are defined as follows: </w:t>
            </w:r>
            <w:r w:rsidRPr="00F24723">
              <w:rPr>
                <w:rFonts w:asciiTheme="minorHAnsi" w:hAnsiTheme="minorHAnsi" w:cstheme="minorHAnsi"/>
                <w:b/>
                <w:bCs/>
                <w:color w:val="313435"/>
              </w:rPr>
              <w:t>Critical Impact to production environment, primary business service, large number of users experience critical loss of function or data integrity at risk.</w:t>
            </w:r>
            <w:r>
              <w:rPr>
                <w:rFonts w:ascii="Open Sans" w:hAnsi="Open Sans" w:cs="Open Sans"/>
                <w:color w:val="313435"/>
              </w:rPr>
              <w:br/>
            </w:r>
            <w:r w:rsidRPr="00F24723">
              <w:t>Customer resources should be available to work on a 24x7 basis with BMC to resolve the issue.</w:t>
            </w:r>
          </w:p>
          <w:p w14:paraId="1A67CB33" w14:textId="57D189CE" w:rsidR="00B06703" w:rsidRDefault="0044637A" w:rsidP="00007106">
            <w:r>
              <w:t xml:space="preserve"> </w:t>
            </w:r>
          </w:p>
        </w:tc>
      </w:tr>
      <w:bookmarkEnd w:id="0"/>
    </w:tbl>
    <w:p w14:paraId="639CF711" w14:textId="51C1C4BE" w:rsidR="0094543B" w:rsidRDefault="0094543B" w:rsidP="009905F8">
      <w:pPr>
        <w:rPr>
          <w:b/>
          <w:iCs/>
          <w:smallCaps/>
        </w:rPr>
      </w:pPr>
    </w:p>
    <w:p w14:paraId="11A57B67" w14:textId="1B49BBAD" w:rsidR="006A0D24" w:rsidRPr="00347A75" w:rsidRDefault="006A0D24" w:rsidP="009905F8">
      <w:pPr>
        <w:rPr>
          <w:b/>
          <w:iCs/>
          <w:smallCaps/>
        </w:rPr>
      </w:pPr>
      <w:r>
        <w:rPr>
          <w:b/>
          <w:iCs/>
          <w:smallCaps/>
        </w:rPr>
        <w:tab/>
      </w:r>
    </w:p>
    <w:sectPr w:rsidR="006A0D24" w:rsidRPr="00347A75">
      <w:headerReference w:type="default" r:id="rId11"/>
      <w:footerReference w:type="default" r:id="rId12"/>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6512D" w14:textId="77777777" w:rsidR="00F56030" w:rsidRDefault="00F56030">
      <w:pPr>
        <w:spacing w:line="240" w:lineRule="auto"/>
      </w:pPr>
      <w:r>
        <w:separator/>
      </w:r>
    </w:p>
  </w:endnote>
  <w:endnote w:type="continuationSeparator" w:id="0">
    <w:p w14:paraId="6F4BF42E" w14:textId="77777777" w:rsidR="00F56030" w:rsidRDefault="00F560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AF162" w14:textId="77777777" w:rsidR="0094543B" w:rsidRDefault="0094543B">
    <w:pPr>
      <w:pBdr>
        <w:top w:val="nil"/>
        <w:left w:val="nil"/>
        <w:bottom w:val="nil"/>
        <w:right w:val="nil"/>
        <w:between w:val="nil"/>
      </w:pBdr>
      <w:tabs>
        <w:tab w:val="center" w:pos="4680"/>
        <w:tab w:val="right" w:pos="9360"/>
      </w:tabs>
      <w:spacing w:line="240" w:lineRule="auto"/>
      <w:jc w:val="right"/>
      <w:rPr>
        <w:color w:val="000000"/>
        <w:sz w:val="12"/>
        <w:szCs w:val="12"/>
      </w:rPr>
    </w:pPr>
  </w:p>
  <w:p w14:paraId="2BCB2CB2" w14:textId="77777777" w:rsidR="0094543B" w:rsidRDefault="008621C6">
    <w:pPr>
      <w:pBdr>
        <w:top w:val="nil"/>
        <w:left w:val="nil"/>
        <w:bottom w:val="nil"/>
        <w:right w:val="nil"/>
        <w:between w:val="nil"/>
      </w:pBdr>
      <w:tabs>
        <w:tab w:val="center" w:pos="4680"/>
        <w:tab w:val="right" w:pos="9360"/>
        <w:tab w:val="left" w:pos="13395"/>
        <w:tab w:val="right" w:pos="14400"/>
      </w:tabs>
      <w:spacing w:line="240" w:lineRule="auto"/>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035D6D">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035D6D">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8A933" w14:textId="77777777" w:rsidR="00F56030" w:rsidRDefault="00F56030">
      <w:pPr>
        <w:spacing w:line="240" w:lineRule="auto"/>
      </w:pPr>
      <w:r>
        <w:separator/>
      </w:r>
    </w:p>
  </w:footnote>
  <w:footnote w:type="continuationSeparator" w:id="0">
    <w:p w14:paraId="2E50D2FB" w14:textId="77777777" w:rsidR="00F56030" w:rsidRDefault="00F560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FE14" w14:textId="77777777" w:rsidR="0094543B" w:rsidRDefault="008621C6">
    <w:pPr>
      <w:pBdr>
        <w:top w:val="nil"/>
        <w:left w:val="nil"/>
        <w:bottom w:val="nil"/>
        <w:right w:val="nil"/>
        <w:between w:val="nil"/>
      </w:pBdr>
      <w:tabs>
        <w:tab w:val="center" w:pos="4680"/>
        <w:tab w:val="right" w:pos="9360"/>
      </w:tabs>
      <w:spacing w:line="240" w:lineRule="auto"/>
      <w:jc w:val="center"/>
      <w:rPr>
        <w:b/>
        <w:smallCaps/>
        <w:color w:val="000000"/>
        <w:u w:val="single"/>
      </w:rPr>
    </w:pPr>
    <w:r>
      <w:rPr>
        <w:b/>
        <w:smallCaps/>
        <w:color w:val="000000"/>
        <w:u w:val="single"/>
      </w:rPr>
      <w:t>RFP 22-70621 Clarifications</w:t>
    </w:r>
  </w:p>
  <w:p w14:paraId="67871E34" w14:textId="77777777" w:rsidR="0094543B" w:rsidRDefault="0094543B">
    <w:pPr>
      <w:pBdr>
        <w:top w:val="nil"/>
        <w:left w:val="nil"/>
        <w:bottom w:val="nil"/>
        <w:right w:val="nil"/>
        <w:between w:val="nil"/>
      </w:pBdr>
      <w:tabs>
        <w:tab w:val="center" w:pos="4680"/>
        <w:tab w:val="right" w:pos="9360"/>
      </w:tabs>
      <w:spacing w:line="240" w:lineRule="auto"/>
      <w:jc w:val="center"/>
      <w:rPr>
        <w:b/>
        <w:color w:val="000000"/>
        <w:sz w:val="12"/>
        <w:szCs w:val="12"/>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43B"/>
    <w:rsid w:val="00010143"/>
    <w:rsid w:val="00035D6D"/>
    <w:rsid w:val="000377F3"/>
    <w:rsid w:val="000A46EA"/>
    <w:rsid w:val="000D1E06"/>
    <w:rsid w:val="00112920"/>
    <w:rsid w:val="00163870"/>
    <w:rsid w:val="001A678E"/>
    <w:rsid w:val="001B7E75"/>
    <w:rsid w:val="001C6322"/>
    <w:rsid w:val="001E3C74"/>
    <w:rsid w:val="001F18A3"/>
    <w:rsid w:val="001F7AF2"/>
    <w:rsid w:val="0024213E"/>
    <w:rsid w:val="002506BF"/>
    <w:rsid w:val="00252375"/>
    <w:rsid w:val="00263A8F"/>
    <w:rsid w:val="00290879"/>
    <w:rsid w:val="002B69AF"/>
    <w:rsid w:val="002F33FA"/>
    <w:rsid w:val="00314702"/>
    <w:rsid w:val="00345512"/>
    <w:rsid w:val="00347A75"/>
    <w:rsid w:val="00373190"/>
    <w:rsid w:val="003C1092"/>
    <w:rsid w:val="00412EFF"/>
    <w:rsid w:val="00415FEF"/>
    <w:rsid w:val="0044637A"/>
    <w:rsid w:val="0046686F"/>
    <w:rsid w:val="004A11A4"/>
    <w:rsid w:val="004C4439"/>
    <w:rsid w:val="004E45B5"/>
    <w:rsid w:val="00523199"/>
    <w:rsid w:val="0052641E"/>
    <w:rsid w:val="00596295"/>
    <w:rsid w:val="005A09B6"/>
    <w:rsid w:val="005B4E8E"/>
    <w:rsid w:val="005C10CB"/>
    <w:rsid w:val="00653659"/>
    <w:rsid w:val="00691604"/>
    <w:rsid w:val="006A0308"/>
    <w:rsid w:val="006A0D24"/>
    <w:rsid w:val="006C5651"/>
    <w:rsid w:val="006C7BA8"/>
    <w:rsid w:val="006D2138"/>
    <w:rsid w:val="006E1CC4"/>
    <w:rsid w:val="007509FB"/>
    <w:rsid w:val="00754581"/>
    <w:rsid w:val="0075608D"/>
    <w:rsid w:val="007D6F23"/>
    <w:rsid w:val="007E1099"/>
    <w:rsid w:val="007F3DE7"/>
    <w:rsid w:val="0084466B"/>
    <w:rsid w:val="008621C6"/>
    <w:rsid w:val="00863A8C"/>
    <w:rsid w:val="00872C19"/>
    <w:rsid w:val="008901EF"/>
    <w:rsid w:val="008A3BC9"/>
    <w:rsid w:val="008A5941"/>
    <w:rsid w:val="008D4993"/>
    <w:rsid w:val="009415DC"/>
    <w:rsid w:val="0094543B"/>
    <w:rsid w:val="00974946"/>
    <w:rsid w:val="009905F8"/>
    <w:rsid w:val="009B3EF0"/>
    <w:rsid w:val="00A019B9"/>
    <w:rsid w:val="00A606EE"/>
    <w:rsid w:val="00A741AD"/>
    <w:rsid w:val="00AA20B8"/>
    <w:rsid w:val="00AF2355"/>
    <w:rsid w:val="00B0058F"/>
    <w:rsid w:val="00B0102C"/>
    <w:rsid w:val="00B06703"/>
    <w:rsid w:val="00B60F3F"/>
    <w:rsid w:val="00BB1CFC"/>
    <w:rsid w:val="00BD0812"/>
    <w:rsid w:val="00BD6F23"/>
    <w:rsid w:val="00C15CB2"/>
    <w:rsid w:val="00C17F71"/>
    <w:rsid w:val="00C26466"/>
    <w:rsid w:val="00C423D6"/>
    <w:rsid w:val="00C52048"/>
    <w:rsid w:val="00C77353"/>
    <w:rsid w:val="00C77C15"/>
    <w:rsid w:val="00C902B8"/>
    <w:rsid w:val="00CB35B6"/>
    <w:rsid w:val="00CD09C6"/>
    <w:rsid w:val="00CF12C3"/>
    <w:rsid w:val="00CF2299"/>
    <w:rsid w:val="00D64E33"/>
    <w:rsid w:val="00DC72ED"/>
    <w:rsid w:val="00EA134B"/>
    <w:rsid w:val="00EA7224"/>
    <w:rsid w:val="00EA7F48"/>
    <w:rsid w:val="00EB1672"/>
    <w:rsid w:val="00EB5FA5"/>
    <w:rsid w:val="00EC39D4"/>
    <w:rsid w:val="00F061A5"/>
    <w:rsid w:val="00F24723"/>
    <w:rsid w:val="00F56030"/>
    <w:rsid w:val="00F56C66"/>
    <w:rsid w:val="00F73993"/>
    <w:rsid w:val="00FA3A24"/>
    <w:rsid w:val="00FE28EF"/>
    <w:rsid w:val="00FE3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2F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D3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paragraph" w:styleId="Revision">
    <w:name w:val="Revision"/>
    <w:hidden/>
    <w:uiPriority w:val="99"/>
    <w:semiHidden/>
    <w:rsid w:val="007D6F23"/>
    <w:pPr>
      <w:spacing w:line="240" w:lineRule="auto"/>
    </w:pPr>
  </w:style>
  <w:style w:type="character" w:styleId="Hyperlink">
    <w:name w:val="Hyperlink"/>
    <w:basedOn w:val="DefaultParagraphFont"/>
    <w:uiPriority w:val="99"/>
    <w:unhideWhenUsed/>
    <w:rsid w:val="002B69AF"/>
    <w:rPr>
      <w:color w:val="0563C1" w:themeColor="hyperlink"/>
      <w:u w:val="single"/>
    </w:rPr>
  </w:style>
  <w:style w:type="character" w:styleId="UnresolvedMention">
    <w:name w:val="Unresolved Mention"/>
    <w:basedOn w:val="DefaultParagraphFont"/>
    <w:uiPriority w:val="99"/>
    <w:semiHidden/>
    <w:unhideWhenUsed/>
    <w:rsid w:val="002B69AF"/>
    <w:rPr>
      <w:color w:val="605E5C"/>
      <w:shd w:val="clear" w:color="auto" w:fill="E1DFDD"/>
    </w:rPr>
  </w:style>
  <w:style w:type="paragraph" w:styleId="NormalWeb">
    <w:name w:val="Normal (Web)"/>
    <w:basedOn w:val="Normal"/>
    <w:uiPriority w:val="99"/>
    <w:semiHidden/>
    <w:unhideWhenUsed/>
    <w:rsid w:val="001B7E75"/>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241669">
      <w:bodyDiv w:val="1"/>
      <w:marLeft w:val="0"/>
      <w:marRight w:val="0"/>
      <w:marTop w:val="0"/>
      <w:marBottom w:val="0"/>
      <w:divBdr>
        <w:top w:val="none" w:sz="0" w:space="0" w:color="auto"/>
        <w:left w:val="none" w:sz="0" w:space="0" w:color="auto"/>
        <w:bottom w:val="none" w:sz="0" w:space="0" w:color="auto"/>
        <w:right w:val="none" w:sz="0" w:space="0" w:color="auto"/>
      </w:divBdr>
    </w:div>
    <w:div w:id="367606325">
      <w:bodyDiv w:val="1"/>
      <w:marLeft w:val="0"/>
      <w:marRight w:val="0"/>
      <w:marTop w:val="0"/>
      <w:marBottom w:val="0"/>
      <w:divBdr>
        <w:top w:val="none" w:sz="0" w:space="0" w:color="auto"/>
        <w:left w:val="none" w:sz="0" w:space="0" w:color="auto"/>
        <w:bottom w:val="none" w:sz="0" w:space="0" w:color="auto"/>
        <w:right w:val="none" w:sz="0" w:space="0" w:color="auto"/>
      </w:divBdr>
    </w:div>
    <w:div w:id="632291829">
      <w:bodyDiv w:val="1"/>
      <w:marLeft w:val="0"/>
      <w:marRight w:val="0"/>
      <w:marTop w:val="0"/>
      <w:marBottom w:val="0"/>
      <w:divBdr>
        <w:top w:val="none" w:sz="0" w:space="0" w:color="auto"/>
        <w:left w:val="none" w:sz="0" w:space="0" w:color="auto"/>
        <w:bottom w:val="none" w:sz="0" w:space="0" w:color="auto"/>
        <w:right w:val="none" w:sz="0" w:space="0" w:color="auto"/>
      </w:divBdr>
    </w:div>
    <w:div w:id="1896774546">
      <w:bodyDiv w:val="1"/>
      <w:marLeft w:val="0"/>
      <w:marRight w:val="0"/>
      <w:marTop w:val="0"/>
      <w:marBottom w:val="0"/>
      <w:divBdr>
        <w:top w:val="none" w:sz="0" w:space="0" w:color="auto"/>
        <w:left w:val="none" w:sz="0" w:space="0" w:color="auto"/>
        <w:bottom w:val="none" w:sz="0" w:space="0" w:color="auto"/>
        <w:right w:val="none" w:sz="0" w:space="0" w:color="auto"/>
      </w:divBdr>
    </w:div>
    <w:div w:id="1974092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bmc.com/support/resources/bmc-severity-level-definitions.html"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ozWWYnqZZ9MBOuDq7MsQ8ypyHQ==">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</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E306AC54AF6AB4FB4DDE3300767DDE2" ma:contentTypeVersion="11" ma:contentTypeDescription="Create a new document." ma:contentTypeScope="" ma:versionID="e30f17ee688533525434e4d0d3c49279">
  <xsd:schema xmlns:xsd="http://www.w3.org/2001/XMLSchema" xmlns:xs="http://www.w3.org/2001/XMLSchema" xmlns:p="http://schemas.microsoft.com/office/2006/metadata/properties" xmlns:ns2="13982626-5837-4194-9999-b4f9ccea9de4" xmlns:ns3="c506cedc-400a-42c5-9486-a0adc8ac9edd" xmlns:ns4="ddb5066c-6899-482b-9ea0-5145f9da9989" targetNamespace="http://schemas.microsoft.com/office/2006/metadata/properties" ma:root="true" ma:fieldsID="3aa9c647f862b3821a93fe7d64f3fb00" ns2:_="" ns3:_="" ns4:_="">
    <xsd:import namespace="13982626-5837-4194-9999-b4f9ccea9de4"/>
    <xsd:import namespace="c506cedc-400a-42c5-9486-a0adc8ac9edd"/>
    <xsd:import namespace="ddb5066c-6899-482b-9ea0-5145f9da99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82626-5837-4194-9999-b4f9ccea9d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506cedc-400a-42c5-9486-a0adc8ac9e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b5066c-6899-482b-9ea0-5145f9da998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30bb22c-37b0-45e4-8796-2da9bd6ca82a}" ma:internalName="TaxCatchAll" ma:showField="CatchAllData" ma:web="c506cedc-400a-42c5-9486-a0adc8ac9e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5920092-BE17-43CD-BA23-F2CB88A441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82626-5837-4194-9999-b4f9ccea9de4"/>
    <ds:schemaRef ds:uri="c506cedc-400a-42c5-9486-a0adc8ac9edd"/>
    <ds:schemaRef ds:uri="ddb5066c-6899-482b-9ea0-5145f9d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FE322-6389-4F9B-B5BC-E667F458ED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2022-08-26T17:59:00Z</dcterms:created>
  <dcterms:modified xsi:type="dcterms:W3CDTF">2022-08-26T17:59:00Z</dcterms:modified>
</cp:coreProperties>
</file>